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落实意识形态工作制责任情况表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（移风易俗、新时代文明实践中心建设、感恩奋进）</w:t>
      </w:r>
    </w:p>
    <w:tbl>
      <w:tblPr>
        <w:tblStyle w:val="3"/>
        <w:tblpPr w:leftFromText="180" w:rightFromText="180" w:vertAnchor="text" w:horzAnchor="page" w:tblpX="1792" w:tblpY="22"/>
        <w:tblOverlap w:val="never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20"/>
        <w:gridCol w:w="3626"/>
        <w:gridCol w:w="164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移风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易俗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领导动态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工作的资料台账提供2017年、   2018年、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红白理事帮办情况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特色做法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干部结对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帮扶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制定村规民约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评选活动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并挂牌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建一个戏台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刷一面文化墙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推荐1—2名好人好事典型事迹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示范引领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建好红黑榜发布栏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工作的资料台账提供2018年、2019年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红黑榜每季度发布一次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新时代文明实践中心建设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是否有固定场所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工作的资料台账提供2018年、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是否把统一标识牌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进行上墙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是否印发实施方案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是否成立领导小组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是否安排有专人负责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是否建有志愿者队伍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人员多少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是否把工作制度进行上墙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制度是否完整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缺哪项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年初是否有实践活动计划安排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开展实践活动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实践活动是否有记录、台帐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实践活动是否有照片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每个村小组是否书写或悬挂宣传标语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感恩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奋进</w:t>
            </w:r>
          </w:p>
        </w:tc>
        <w:tc>
          <w:tcPr>
            <w:tcW w:w="4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每个村小组是否书写或悬挂宣传标语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工作的资料台账提供2019年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“十个一”系列活动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开展集中学习教育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观看红色电影或主旋律专题片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开好红色故事会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开展感党恩行动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组织卫生大扫除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召开恳谈会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组织文艺下乡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组织科普宣传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开展志愿服务活动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组织能人宣传队进行宣传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361" w:right="1814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34FD"/>
    <w:rsid w:val="061134FD"/>
    <w:rsid w:val="2FF17623"/>
    <w:rsid w:val="4E6766B1"/>
    <w:rsid w:val="517960AA"/>
    <w:rsid w:val="787C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2019-03-26T02:45:00Z</dcterms:created>
  <dc:creator>项路军</dc:creator>
  <cp:lastModifiedBy>项路军</cp:lastModifiedBy>
  <cp:lastPrinted>2019-07-12T12:48:11Z</cp:lastPrinted>
  <dcterms:modified xsi:type="dcterms:W3CDTF">2019-07-12T12:49:19Z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